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DC1" w:rsidRDefault="008A3DC1" w:rsidP="008A3DC1">
      <w:pPr>
        <w:rPr>
          <w:rFonts w:ascii="HG丸ｺﾞｼｯｸM-PRO" w:eastAsia="HG丸ｺﾞｼｯｸM-PRO" w:hAnsi="HG丸ｺﾞｼｯｸM-PRO"/>
          <w:b/>
          <w:sz w:val="22"/>
          <w:szCs w:val="22"/>
        </w:rPr>
      </w:pPr>
    </w:p>
    <w:p w:rsidR="008A3DC1" w:rsidRDefault="008A3DC1" w:rsidP="008A3DC1">
      <w:pPr>
        <w:rPr>
          <w:rFonts w:ascii="HG丸ｺﾞｼｯｸM-PRO" w:eastAsia="HG丸ｺﾞｼｯｸM-PRO" w:hAnsi="HG丸ｺﾞｼｯｸM-PRO"/>
          <w:b/>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5840730</wp:posOffset>
                </wp:positionH>
                <wp:positionV relativeFrom="paragraph">
                  <wp:posOffset>-377190</wp:posOffset>
                </wp:positionV>
                <wp:extent cx="952500" cy="3524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6350">
                          <a:solidFill>
                            <a:prstClr val="black"/>
                          </a:solidFill>
                        </a:ln>
                      </wps:spPr>
                      <wps:txbx>
                        <w:txbxContent>
                          <w:p w:rsidR="008A3DC1" w:rsidRDefault="008A3DC1" w:rsidP="008A3DC1">
                            <w:pPr>
                              <w:ind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59.9pt;margin-top:-29.7pt;width: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" fillcolor="white [3201]" strokeweight=".5pt">
                <v:textbox>
                  <w:txbxContent>
                    <w:p w:rsidR="008A3DC1" w:rsidRDefault="008A3DC1" w:rsidP="008A3DC1">
                      <w:pPr>
                        <w:ind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rPr>
                        <w:t>別　紙</w:t>
                      </w:r>
                    </w:p>
                  </w:txbxContent>
                </v:textbox>
              </v:shape>
            </w:pict>
          </mc:Fallback>
        </mc:AlternateContent>
      </w:r>
      <w:r w:rsidR="004007F3">
        <w:rPr>
          <w:rFonts w:ascii="HG丸ｺﾞｼｯｸM-PRO" w:eastAsia="HG丸ｺﾞｼｯｸM-PRO" w:hAnsi="HG丸ｺﾞｼｯｸM-PRO" w:hint="eastAsia"/>
          <w:b/>
          <w:sz w:val="22"/>
          <w:szCs w:val="22"/>
        </w:rPr>
        <w:t>該当する取組内容にチェックし、申込書と一緒に提出してください</w:t>
      </w:r>
      <w:r>
        <w:rPr>
          <w:rFonts w:ascii="HG丸ｺﾞｼｯｸM-PRO" w:eastAsia="HG丸ｺﾞｼｯｸM-PRO" w:hAnsi="HG丸ｺﾞｼｯｸM-PRO" w:hint="eastAsia"/>
          <w:b/>
          <w:sz w:val="22"/>
          <w:szCs w:val="22"/>
        </w:rPr>
        <w:t>。</w:t>
      </w:r>
    </w:p>
    <w:tbl>
      <w:tblPr>
        <w:tblStyle w:val="a3"/>
        <w:tblW w:w="10768" w:type="dxa"/>
        <w:tblInd w:w="0" w:type="dxa"/>
        <w:tblLook w:val="04A0" w:firstRow="1" w:lastRow="0" w:firstColumn="1" w:lastColumn="0" w:noHBand="0" w:noVBand="1"/>
      </w:tblPr>
      <w:tblGrid>
        <w:gridCol w:w="562"/>
        <w:gridCol w:w="1453"/>
        <w:gridCol w:w="549"/>
        <w:gridCol w:w="7496"/>
        <w:gridCol w:w="708"/>
      </w:tblGrid>
      <w:tr w:rsidR="008A3DC1" w:rsidTr="008A3DC1">
        <w:tc>
          <w:tcPr>
            <w:tcW w:w="562" w:type="dxa"/>
            <w:tcBorders>
              <w:top w:val="single" w:sz="4" w:space="0" w:color="auto"/>
              <w:left w:val="single" w:sz="4" w:space="0" w:color="auto"/>
              <w:bottom w:val="single" w:sz="4" w:space="0" w:color="auto"/>
              <w:right w:val="single" w:sz="4" w:space="0" w:color="auto"/>
            </w:tcBorders>
          </w:tcPr>
          <w:p w:rsidR="008A3DC1" w:rsidRDefault="008A3DC1">
            <w:pPr>
              <w:jc w:val="center"/>
              <w:rPr>
                <w:rFonts w:ascii="HG丸ｺﾞｼｯｸM-PRO" w:eastAsia="HG丸ｺﾞｼｯｸM-PRO" w:hAnsi="HG丸ｺﾞｼｯｸM-PRO"/>
                <w:sz w:val="22"/>
                <w:szCs w:val="22"/>
              </w:rPr>
            </w:pPr>
          </w:p>
        </w:tc>
        <w:tc>
          <w:tcPr>
            <w:tcW w:w="1453"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区　分</w:t>
            </w:r>
          </w:p>
        </w:tc>
        <w:tc>
          <w:tcPr>
            <w:tcW w:w="8045" w:type="dxa"/>
            <w:gridSpan w:val="2"/>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取　組　内　容</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取組ﾁｪｯｸ</w:t>
            </w:r>
          </w:p>
        </w:tc>
      </w:tr>
      <w:tr w:rsidR="008A3DC1" w:rsidTr="008A3DC1">
        <w:trPr>
          <w:trHeight w:val="388"/>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女性が継続して就労できる環境整備</w:t>
            </w: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組織、担当者の設置など、女性活躍を推進する社内体制を整備している。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女性の活躍推進について社内掲示板、研修、社内報などで、社員に対し周知・啓発している。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女性活躍推進法に基づく「えるぼし」認定を受けている。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（従業員</w:t>
            </w:r>
            <w:r w:rsidR="00E37F72">
              <w:rPr>
                <w:rFonts w:ascii="HG丸ｺﾞｼｯｸM-PRO" w:eastAsia="HG丸ｺﾞｼｯｸM-PRO" w:hAnsi="HG丸ｺﾞｼｯｸM-PRO" w:hint="eastAsia"/>
                <w:sz w:val="22"/>
                <w:szCs w:val="22"/>
              </w:rPr>
              <w:t>１</w:t>
            </w:r>
            <w:bookmarkStart w:id="0" w:name="_GoBack"/>
            <w:bookmarkEnd w:id="0"/>
            <w:r>
              <w:rPr>
                <w:rFonts w:ascii="HG丸ｺﾞｼｯｸM-PRO" w:eastAsia="HG丸ｺﾞｼｯｸM-PRO" w:hAnsi="HG丸ｺﾞｼｯｸM-PRO" w:hint="eastAsia"/>
                <w:sz w:val="22"/>
                <w:szCs w:val="22"/>
              </w:rPr>
              <w:t>００人以下の場合）努力義務である女性活躍推進法に基づく</w:t>
            </w:r>
          </w:p>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一般事業主行動計画を策定している。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女性によるプロジェクトチームの設置に取り組んでいる。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ruby>
                <w:rubyPr>
                  <w:rubyAlign w:val="left"/>
                  <w:hps w:val="14"/>
                  <w:hpsRaise w:val="20"/>
                  <w:hpsBaseText w:val="22"/>
                  <w:lid w:val="ja-JP"/>
                </w:rubyPr>
                <w:rt>
                  <w:r w:rsidR="008A3DC1">
                    <w:rPr>
                      <w:rFonts w:ascii="HG丸ｺﾞｼｯｸM-PRO" w:eastAsia="HG丸ｺﾞｼｯｸM-PRO" w:hAnsi="HG丸ｺﾞｼｯｸM-PRO" w:hint="eastAsia"/>
                      <w:sz w:val="14"/>
                      <w:szCs w:val="14"/>
                    </w:rPr>
                    <w:t>※1</w:t>
                  </w:r>
                </w:rt>
                <w:rubyBase>
                  <w:r w:rsidR="008A3DC1">
                    <w:rPr>
                      <w:rFonts w:ascii="HG丸ｺﾞｼｯｸM-PRO" w:eastAsia="HG丸ｺﾞｼｯｸM-PRO" w:hAnsi="HG丸ｺﾞｼｯｸM-PRO" w:hint="eastAsia"/>
                      <w:sz w:val="22"/>
                      <w:szCs w:val="22"/>
                    </w:rPr>
                    <w:t>ロールモデル</w:t>
                  </w:r>
                </w:rubyBase>
              </w:ruby>
            </w:r>
            <w:r>
              <w:rPr>
                <w:rFonts w:ascii="HG丸ｺﾞｼｯｸM-PRO" w:eastAsia="HG丸ｺﾞｼｯｸM-PRO" w:hAnsi="HG丸ｺﾞｼｯｸM-PRO" w:hint="eastAsia"/>
                <w:sz w:val="22"/>
                <w:szCs w:val="22"/>
              </w:rPr>
              <w:t>や</w:t>
            </w:r>
            <w:r>
              <w:rPr>
                <w:rFonts w:ascii="HG丸ｺﾞｼｯｸM-PRO" w:eastAsia="HG丸ｺﾞｼｯｸM-PRO" w:hAnsi="HG丸ｺﾞｼｯｸM-PRO"/>
                <w:sz w:val="22"/>
                <w:szCs w:val="22"/>
              </w:rPr>
              <w:ruby>
                <w:rubyPr>
                  <w:rubyAlign w:val="left"/>
                  <w:hps w:val="14"/>
                  <w:hpsRaise w:val="20"/>
                  <w:hpsBaseText w:val="22"/>
                  <w:lid w:val="ja-JP"/>
                </w:rubyPr>
                <w:rt>
                  <w:r w:rsidR="008A3DC1">
                    <w:rPr>
                      <w:rFonts w:ascii="HG丸ｺﾞｼｯｸM-PRO" w:eastAsia="HG丸ｺﾞｼｯｸM-PRO" w:hAnsi="HG丸ｺﾞｼｯｸM-PRO" w:hint="eastAsia"/>
                      <w:sz w:val="14"/>
                      <w:szCs w:val="14"/>
                    </w:rPr>
                    <w:t>※2</w:t>
                  </w:r>
                </w:rt>
                <w:rubyBase>
                  <w:r w:rsidR="008A3DC1">
                    <w:rPr>
                      <w:rFonts w:ascii="HG丸ｺﾞｼｯｸM-PRO" w:eastAsia="HG丸ｺﾞｼｯｸM-PRO" w:hAnsi="HG丸ｺﾞｼｯｸM-PRO" w:hint="eastAsia"/>
                      <w:sz w:val="22"/>
                      <w:szCs w:val="22"/>
                    </w:rPr>
                    <w:t>メンター</w:t>
                  </w:r>
                </w:rubyBase>
              </w:ruby>
            </w:r>
            <w:r>
              <w:rPr>
                <w:rFonts w:ascii="HG丸ｺﾞｼｯｸM-PRO" w:eastAsia="HG丸ｺﾞｼｯｸM-PRO" w:hAnsi="HG丸ｺﾞｼｯｸM-PRO" w:hint="eastAsia"/>
                <w:sz w:val="22"/>
                <w:szCs w:val="22"/>
              </w:rPr>
              <w:t>制度の導入に取り組んでいる。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その他、独自に積極的に取り組んでいる。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女性の積極的な登用やキャリアアップの推進</w:t>
            </w: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女性管理者の目標比率を定めて積極的な登用に取り組んでいる。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女性が少ない職種等への積極的な配置に取り組んでいる。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非正規職員から正規職員への転換に取り組んでいる。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女性のキャリアアップのための研修の実施や積極的に外部の研修に参加させている。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その他、独自に積極的に取り組んでいる。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３</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男女ともに働きやすい職場を実現するための取組</w:t>
            </w: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法律で定められている育児休業・各種休暇や企業独自の育児休業制度等について、社内報等により社員に周知・啓発している。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研修や社内報などで「ワーク・ライフ・バランス」が大切であるという考えを社員に周知・啓発している。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ノー残業デーの実施など時間外勤務の縮減に向けた取組を積極的に行っている。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短時間勤務や</w:t>
            </w:r>
            <w:r>
              <w:rPr>
                <w:rFonts w:ascii="HG丸ｺﾞｼｯｸM-PRO" w:eastAsia="HG丸ｺﾞｼｯｸM-PRO" w:hAnsi="HG丸ｺﾞｼｯｸM-PRO"/>
                <w:sz w:val="22"/>
                <w:szCs w:val="22"/>
              </w:rPr>
              <w:ruby>
                <w:rubyPr>
                  <w:rubyAlign w:val="left"/>
                  <w:hps w:val="14"/>
                  <w:hpsRaise w:val="20"/>
                  <w:hpsBaseText w:val="22"/>
                  <w:lid w:val="ja-JP"/>
                </w:rubyPr>
                <w:rt>
                  <w:r w:rsidR="008A3DC1">
                    <w:rPr>
                      <w:rFonts w:ascii="HG丸ｺﾞｼｯｸM-PRO" w:eastAsia="HG丸ｺﾞｼｯｸM-PRO" w:hAnsi="HG丸ｺﾞｼｯｸM-PRO" w:hint="eastAsia"/>
                      <w:sz w:val="14"/>
                      <w:szCs w:val="14"/>
                    </w:rPr>
                    <w:t>※3</w:t>
                  </w:r>
                </w:rt>
                <w:rubyBase>
                  <w:r w:rsidR="008A3DC1">
                    <w:rPr>
                      <w:rFonts w:ascii="HG丸ｺﾞｼｯｸM-PRO" w:eastAsia="HG丸ｺﾞｼｯｸM-PRO" w:hAnsi="HG丸ｺﾞｼｯｸM-PRO" w:hint="eastAsia"/>
                      <w:sz w:val="22"/>
                      <w:szCs w:val="22"/>
                    </w:rPr>
                    <w:t>フレックスタイム</w:t>
                  </w:r>
                </w:rubyBase>
              </w:ruby>
            </w:r>
            <w:r>
              <w:rPr>
                <w:rFonts w:ascii="HG丸ｺﾞｼｯｸM-PRO" w:eastAsia="HG丸ｺﾞｼｯｸM-PRO" w:hAnsi="HG丸ｺﾞｼｯｸM-PRO" w:hint="eastAsia"/>
                <w:sz w:val="22"/>
                <w:szCs w:val="22"/>
              </w:rPr>
              <w:t>などの多様な働き方ができる制度を導入している。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外部が主催する働き方に関する研修に経営者自ら進んで参加し、又社員も積極的に参加させている。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男性の育児休業等の取得を積極的に推進している。（実績がある）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経営者や管理者がイクボス宣言を行っている。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次世代育成支援対策推進法に基づく「くるみん」の認定を受けている。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９</w:t>
            </w:r>
          </w:p>
        </w:tc>
        <w:tc>
          <w:tcPr>
            <w:tcW w:w="7496" w:type="dxa"/>
            <w:tcBorders>
              <w:top w:val="single" w:sz="4" w:space="0" w:color="auto"/>
              <w:left w:val="single" w:sz="4" w:space="0" w:color="auto"/>
              <w:bottom w:val="single" w:sz="4" w:space="0" w:color="auto"/>
              <w:right w:val="single" w:sz="4" w:space="0" w:color="auto"/>
            </w:tcBorders>
            <w:hideMark/>
          </w:tcPr>
          <w:p w:rsidR="008A3DC1" w:rsidRDefault="008A3DC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（従業員１００人以下の場合）努力義務である次世代育成支援対策推進法に係る一般事業主行動計画を策定している。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8A3DC1" w:rsidTr="008A3DC1">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b/>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DC1" w:rsidRDefault="008A3DC1">
            <w:pPr>
              <w:rPr>
                <w:rFonts w:ascii="HG丸ｺﾞｼｯｸM-PRO" w:eastAsia="HG丸ｺﾞｼｯｸM-PRO" w:hAnsi="HG丸ｺﾞｼｯｸM-PRO" w:cstheme="minorBidi"/>
                <w:kern w:val="2"/>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10</w:t>
            </w:r>
          </w:p>
        </w:tc>
        <w:tc>
          <w:tcPr>
            <w:tcW w:w="7496"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その他、独自に積極的に取り組んでいる。</w:t>
            </w:r>
          </w:p>
        </w:tc>
        <w:tc>
          <w:tcPr>
            <w:tcW w:w="708" w:type="dxa"/>
            <w:tcBorders>
              <w:top w:val="single" w:sz="4" w:space="0" w:color="auto"/>
              <w:left w:val="single" w:sz="4" w:space="0" w:color="auto"/>
              <w:bottom w:val="single" w:sz="4" w:space="0" w:color="auto"/>
              <w:right w:val="single" w:sz="4" w:space="0" w:color="auto"/>
            </w:tcBorders>
            <w:vAlign w:val="center"/>
            <w:hideMark/>
          </w:tcPr>
          <w:p w:rsidR="008A3DC1" w:rsidRDefault="008A3DC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bl>
    <w:p w:rsidR="00BE192B" w:rsidRDefault="005A1FDB">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1" locked="0" layoutInCell="1" allowOverlap="1" wp14:anchorId="50C3B194" wp14:editId="7E805846">
                <wp:simplePos x="0" y="0"/>
                <wp:positionH relativeFrom="margin">
                  <wp:posOffset>259080</wp:posOffset>
                </wp:positionH>
                <wp:positionV relativeFrom="paragraph">
                  <wp:posOffset>53976</wp:posOffset>
                </wp:positionV>
                <wp:extent cx="4772025" cy="876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772025" cy="876300"/>
                        </a:xfrm>
                        <a:prstGeom prst="rect">
                          <a:avLst/>
                        </a:prstGeom>
                        <a:noFill/>
                        <a:ln w="6350">
                          <a:noFill/>
                        </a:ln>
                      </wps:spPr>
                      <wps:txbx>
                        <w:txbxContent>
                          <w:p w:rsidR="005A1FDB" w:rsidRPr="00C74E93" w:rsidRDefault="005A1FDB" w:rsidP="005D3972">
                            <w:pPr>
                              <w:ind w:left="720" w:hangingChars="400" w:hanging="720"/>
                              <w:rPr>
                                <w:sz w:val="18"/>
                                <w:szCs w:val="18"/>
                              </w:rPr>
                            </w:pPr>
                            <w:r w:rsidRPr="00C74E93">
                              <w:rPr>
                                <w:rFonts w:hint="eastAsia"/>
                                <w:sz w:val="18"/>
                                <w:szCs w:val="18"/>
                              </w:rPr>
                              <w:t>※</w:t>
                            </w:r>
                            <w:r w:rsidRPr="00C74E93">
                              <w:rPr>
                                <w:rFonts w:hint="eastAsia"/>
                                <w:sz w:val="18"/>
                                <w:szCs w:val="18"/>
                              </w:rPr>
                              <w:t>1</w:t>
                            </w:r>
                            <w:r w:rsidRPr="00C74E93">
                              <w:rPr>
                                <w:rFonts w:hint="eastAsia"/>
                                <w:sz w:val="18"/>
                                <w:szCs w:val="18"/>
                              </w:rPr>
                              <w:t xml:space="preserve">　</w:t>
                            </w:r>
                            <w:r w:rsidRPr="00C74E93">
                              <w:rPr>
                                <w:rFonts w:hint="eastAsia"/>
                                <w:sz w:val="18"/>
                                <w:szCs w:val="18"/>
                              </w:rPr>
                              <w:t>自分に</w:t>
                            </w:r>
                            <w:r w:rsidRPr="00C74E93">
                              <w:rPr>
                                <w:sz w:val="18"/>
                                <w:szCs w:val="18"/>
                              </w:rPr>
                              <w:t>とって、具体的な行動や考え方の</w:t>
                            </w:r>
                            <w:r>
                              <w:rPr>
                                <w:rFonts w:hint="eastAsia"/>
                                <w:sz w:val="18"/>
                                <w:szCs w:val="18"/>
                              </w:rPr>
                              <w:t>模範となる</w:t>
                            </w:r>
                            <w:r w:rsidRPr="00C74E93">
                              <w:rPr>
                                <w:sz w:val="18"/>
                                <w:szCs w:val="18"/>
                              </w:rPr>
                              <w:t>人物</w:t>
                            </w:r>
                            <w:r w:rsidRPr="00C74E93">
                              <w:rPr>
                                <w:rFonts w:hint="eastAsia"/>
                                <w:sz w:val="18"/>
                                <w:szCs w:val="18"/>
                              </w:rPr>
                              <w:t>の</w:t>
                            </w:r>
                            <w:r w:rsidRPr="00C74E93">
                              <w:rPr>
                                <w:sz w:val="18"/>
                                <w:szCs w:val="18"/>
                              </w:rPr>
                              <w:t>こと。</w:t>
                            </w:r>
                          </w:p>
                          <w:p w:rsidR="005A1FDB" w:rsidRPr="00C74E93" w:rsidRDefault="005A1FDB" w:rsidP="005A1FDB">
                            <w:pPr>
                              <w:rPr>
                                <w:sz w:val="18"/>
                                <w:szCs w:val="18"/>
                              </w:rPr>
                            </w:pPr>
                            <w:r w:rsidRPr="00C74E93">
                              <w:rPr>
                                <w:rFonts w:hint="eastAsia"/>
                                <w:sz w:val="18"/>
                                <w:szCs w:val="18"/>
                              </w:rPr>
                              <w:t>※</w:t>
                            </w:r>
                            <w:r w:rsidRPr="00C74E93">
                              <w:rPr>
                                <w:rFonts w:hint="eastAsia"/>
                                <w:sz w:val="18"/>
                                <w:szCs w:val="18"/>
                              </w:rPr>
                              <w:t>2</w:t>
                            </w:r>
                            <w:r w:rsidRPr="00C74E93">
                              <w:rPr>
                                <w:sz w:val="18"/>
                                <w:szCs w:val="18"/>
                              </w:rPr>
                              <w:t xml:space="preserve">　</w:t>
                            </w:r>
                            <w:r w:rsidRPr="00C74E93">
                              <w:rPr>
                                <w:rFonts w:hint="eastAsia"/>
                                <w:sz w:val="18"/>
                                <w:szCs w:val="18"/>
                              </w:rPr>
                              <w:t>仕事</w:t>
                            </w:r>
                            <w:r w:rsidRPr="00C74E93">
                              <w:rPr>
                                <w:sz w:val="18"/>
                                <w:szCs w:val="18"/>
                              </w:rPr>
                              <w:t>上（または人生）の指導者、助言者</w:t>
                            </w:r>
                          </w:p>
                          <w:p w:rsidR="005A1FDB" w:rsidRPr="00C74E93" w:rsidRDefault="005A1FDB" w:rsidP="005A1FDB">
                            <w:pPr>
                              <w:ind w:left="450" w:hangingChars="250" w:hanging="450"/>
                              <w:rPr>
                                <w:sz w:val="18"/>
                                <w:szCs w:val="18"/>
                              </w:rPr>
                            </w:pPr>
                            <w:r w:rsidRPr="00C74E93">
                              <w:rPr>
                                <w:rFonts w:hint="eastAsia"/>
                                <w:sz w:val="18"/>
                                <w:szCs w:val="18"/>
                              </w:rPr>
                              <w:t>※</w:t>
                            </w:r>
                            <w:r w:rsidRPr="00C74E93">
                              <w:rPr>
                                <w:sz w:val="18"/>
                                <w:szCs w:val="18"/>
                              </w:rPr>
                              <w:t>3</w:t>
                            </w:r>
                            <w:r w:rsidRPr="00C74E93">
                              <w:rPr>
                                <w:sz w:val="18"/>
                                <w:szCs w:val="18"/>
                              </w:rPr>
                              <w:t xml:space="preserve">　労働者自身が日々の労働時間の</w:t>
                            </w:r>
                            <w:r w:rsidRPr="00C74E93">
                              <w:rPr>
                                <w:rFonts w:hint="eastAsia"/>
                                <w:sz w:val="18"/>
                                <w:szCs w:val="18"/>
                              </w:rPr>
                              <w:t>長さ</w:t>
                            </w:r>
                            <w:r w:rsidRPr="00C74E93">
                              <w:rPr>
                                <w:sz w:val="18"/>
                                <w:szCs w:val="18"/>
                              </w:rPr>
                              <w:t>、労働の</w:t>
                            </w:r>
                            <w:r>
                              <w:rPr>
                                <w:sz w:val="18"/>
                                <w:szCs w:val="18"/>
                              </w:rPr>
                              <w:t>配置決定することができる制</w:t>
                            </w:r>
                            <w:r>
                              <w:rPr>
                                <w:rFonts w:hint="eastAsia"/>
                                <w:sz w:val="18"/>
                                <w:szCs w:val="18"/>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3B194" id="_x0000_t202" coordsize="21600,21600" o:spt="202" path="m,l,21600r21600,l21600,xe">
                <v:stroke joinstyle="miter"/>
                <v:path gradientshapeok="t" o:connecttype="rect"/>
              </v:shapetype>
              <v:shape id="テキスト ボックス 5" o:spid="_x0000_s1027" type="#_x0000_t202" style="position:absolute;margin-left:20.4pt;margin-top:4.25pt;width:375.75pt;height:6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" filled="f" stroked="f" strokeweight=".5pt">
                <v:textbox>
                  <w:txbxContent>
                    <w:p w:rsidR="005A1FDB" w:rsidRPr="00C74E93" w:rsidRDefault="005A1FDB" w:rsidP="005D3972">
                      <w:pPr>
                        <w:ind w:left="720" w:hangingChars="400" w:hanging="720"/>
                        <w:rPr>
                          <w:sz w:val="18"/>
                          <w:szCs w:val="18"/>
                        </w:rPr>
                      </w:pPr>
                      <w:r w:rsidRPr="00C74E93">
                        <w:rPr>
                          <w:rFonts w:hint="eastAsia"/>
                          <w:sz w:val="18"/>
                          <w:szCs w:val="18"/>
                        </w:rPr>
                        <w:t>※</w:t>
                      </w:r>
                      <w:r w:rsidRPr="00C74E93">
                        <w:rPr>
                          <w:rFonts w:hint="eastAsia"/>
                          <w:sz w:val="18"/>
                          <w:szCs w:val="18"/>
                        </w:rPr>
                        <w:t>1</w:t>
                      </w:r>
                      <w:r w:rsidRPr="00C74E93">
                        <w:rPr>
                          <w:rFonts w:hint="eastAsia"/>
                          <w:sz w:val="18"/>
                          <w:szCs w:val="18"/>
                        </w:rPr>
                        <w:t xml:space="preserve">　自分に</w:t>
                      </w:r>
                      <w:r w:rsidRPr="00C74E93">
                        <w:rPr>
                          <w:sz w:val="18"/>
                          <w:szCs w:val="18"/>
                        </w:rPr>
                        <w:t>とって、具体的な行動や考え方の</w:t>
                      </w:r>
                      <w:r>
                        <w:rPr>
                          <w:rFonts w:hint="eastAsia"/>
                          <w:sz w:val="18"/>
                          <w:szCs w:val="18"/>
                        </w:rPr>
                        <w:t>模範となる</w:t>
                      </w:r>
                      <w:r w:rsidRPr="00C74E93">
                        <w:rPr>
                          <w:sz w:val="18"/>
                          <w:szCs w:val="18"/>
                        </w:rPr>
                        <w:t>人物</w:t>
                      </w:r>
                      <w:r w:rsidRPr="00C74E93">
                        <w:rPr>
                          <w:rFonts w:hint="eastAsia"/>
                          <w:sz w:val="18"/>
                          <w:szCs w:val="18"/>
                        </w:rPr>
                        <w:t>の</w:t>
                      </w:r>
                      <w:r w:rsidRPr="00C74E93">
                        <w:rPr>
                          <w:sz w:val="18"/>
                          <w:szCs w:val="18"/>
                        </w:rPr>
                        <w:t>こと。</w:t>
                      </w:r>
                    </w:p>
                    <w:p w:rsidR="005A1FDB" w:rsidRPr="00C74E93" w:rsidRDefault="005A1FDB" w:rsidP="005A1FDB">
                      <w:pPr>
                        <w:rPr>
                          <w:sz w:val="18"/>
                          <w:szCs w:val="18"/>
                        </w:rPr>
                      </w:pPr>
                      <w:r w:rsidRPr="00C74E93">
                        <w:rPr>
                          <w:rFonts w:hint="eastAsia"/>
                          <w:sz w:val="18"/>
                          <w:szCs w:val="18"/>
                        </w:rPr>
                        <w:t>※</w:t>
                      </w:r>
                      <w:r w:rsidRPr="00C74E93">
                        <w:rPr>
                          <w:rFonts w:hint="eastAsia"/>
                          <w:sz w:val="18"/>
                          <w:szCs w:val="18"/>
                        </w:rPr>
                        <w:t>2</w:t>
                      </w:r>
                      <w:r w:rsidRPr="00C74E93">
                        <w:rPr>
                          <w:sz w:val="18"/>
                          <w:szCs w:val="18"/>
                        </w:rPr>
                        <w:t xml:space="preserve">　</w:t>
                      </w:r>
                      <w:r w:rsidRPr="00C74E93">
                        <w:rPr>
                          <w:rFonts w:hint="eastAsia"/>
                          <w:sz w:val="18"/>
                          <w:szCs w:val="18"/>
                        </w:rPr>
                        <w:t>仕事</w:t>
                      </w:r>
                      <w:r w:rsidRPr="00C74E93">
                        <w:rPr>
                          <w:sz w:val="18"/>
                          <w:szCs w:val="18"/>
                        </w:rPr>
                        <w:t>上（または人生）の指導者、助言者</w:t>
                      </w:r>
                    </w:p>
                    <w:p w:rsidR="005A1FDB" w:rsidRPr="00C74E93" w:rsidRDefault="005A1FDB" w:rsidP="005A1FDB">
                      <w:pPr>
                        <w:ind w:left="450" w:hangingChars="250" w:hanging="450"/>
                        <w:rPr>
                          <w:sz w:val="18"/>
                          <w:szCs w:val="18"/>
                        </w:rPr>
                      </w:pPr>
                      <w:r w:rsidRPr="00C74E93">
                        <w:rPr>
                          <w:rFonts w:hint="eastAsia"/>
                          <w:sz w:val="18"/>
                          <w:szCs w:val="18"/>
                        </w:rPr>
                        <w:t>※</w:t>
                      </w:r>
                      <w:r w:rsidRPr="00C74E93">
                        <w:rPr>
                          <w:sz w:val="18"/>
                          <w:szCs w:val="18"/>
                        </w:rPr>
                        <w:t>3</w:t>
                      </w:r>
                      <w:r w:rsidRPr="00C74E93">
                        <w:rPr>
                          <w:sz w:val="18"/>
                          <w:szCs w:val="18"/>
                        </w:rPr>
                        <w:t xml:space="preserve">　労働者自身が日々の労働時間の</w:t>
                      </w:r>
                      <w:r w:rsidRPr="00C74E93">
                        <w:rPr>
                          <w:rFonts w:hint="eastAsia"/>
                          <w:sz w:val="18"/>
                          <w:szCs w:val="18"/>
                        </w:rPr>
                        <w:t>長さ</w:t>
                      </w:r>
                      <w:r w:rsidRPr="00C74E93">
                        <w:rPr>
                          <w:sz w:val="18"/>
                          <w:szCs w:val="18"/>
                        </w:rPr>
                        <w:t>、労働の</w:t>
                      </w:r>
                      <w:r>
                        <w:rPr>
                          <w:sz w:val="18"/>
                          <w:szCs w:val="18"/>
                        </w:rPr>
                        <w:t>配置決定することができる制</w:t>
                      </w:r>
                      <w:r>
                        <w:rPr>
                          <w:rFonts w:hint="eastAsia"/>
                          <w:sz w:val="18"/>
                          <w:szCs w:val="18"/>
                        </w:rPr>
                        <w:t>度</w:t>
                      </w:r>
                    </w:p>
                  </w:txbxContent>
                </v:textbox>
                <w10:wrap anchorx="margin"/>
              </v:shape>
            </w:pict>
          </mc:Fallback>
        </mc:AlternateContent>
      </w:r>
    </w:p>
    <w:sectPr w:rsidR="00BE192B" w:rsidSect="005A1FDB">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7F3" w:rsidRDefault="004007F3" w:rsidP="004007F3">
      <w:r>
        <w:separator/>
      </w:r>
    </w:p>
  </w:endnote>
  <w:endnote w:type="continuationSeparator" w:id="0">
    <w:p w:rsidR="004007F3" w:rsidRDefault="004007F3" w:rsidP="0040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7F3" w:rsidRDefault="004007F3" w:rsidP="004007F3">
      <w:r>
        <w:separator/>
      </w:r>
    </w:p>
  </w:footnote>
  <w:footnote w:type="continuationSeparator" w:id="0">
    <w:p w:rsidR="004007F3" w:rsidRDefault="004007F3" w:rsidP="0040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C1"/>
    <w:rsid w:val="004007F3"/>
    <w:rsid w:val="005A1FDB"/>
    <w:rsid w:val="005D3972"/>
    <w:rsid w:val="008A3DC1"/>
    <w:rsid w:val="00BE192B"/>
    <w:rsid w:val="00E3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B4B112"/>
  <w15:chartTrackingRefBased/>
  <w15:docId w15:val="{D2DC40B9-BB7A-4426-B823-32E2A4F0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DC1"/>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D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7F3"/>
    <w:pPr>
      <w:tabs>
        <w:tab w:val="center" w:pos="4252"/>
        <w:tab w:val="right" w:pos="8504"/>
      </w:tabs>
      <w:snapToGrid w:val="0"/>
    </w:pPr>
  </w:style>
  <w:style w:type="character" w:customStyle="1" w:styleId="a5">
    <w:name w:val="ヘッダー (文字)"/>
    <w:basedOn w:val="a0"/>
    <w:link w:val="a4"/>
    <w:uiPriority w:val="99"/>
    <w:rsid w:val="004007F3"/>
    <w:rPr>
      <w:rFonts w:cs="Times New Roman"/>
      <w:kern w:val="0"/>
      <w:sz w:val="24"/>
      <w:szCs w:val="24"/>
    </w:rPr>
  </w:style>
  <w:style w:type="paragraph" w:styleId="a6">
    <w:name w:val="footer"/>
    <w:basedOn w:val="a"/>
    <w:link w:val="a7"/>
    <w:uiPriority w:val="99"/>
    <w:unhideWhenUsed/>
    <w:rsid w:val="004007F3"/>
    <w:pPr>
      <w:tabs>
        <w:tab w:val="center" w:pos="4252"/>
        <w:tab w:val="right" w:pos="8504"/>
      </w:tabs>
      <w:snapToGrid w:val="0"/>
    </w:pPr>
  </w:style>
  <w:style w:type="character" w:customStyle="1" w:styleId="a7">
    <w:name w:val="フッター (文字)"/>
    <w:basedOn w:val="a0"/>
    <w:link w:val="a6"/>
    <w:uiPriority w:val="99"/>
    <w:rsid w:val="004007F3"/>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知子</dc:creator>
  <cp:keywords/>
  <dc:description/>
  <cp:lastModifiedBy>奥薗　修作</cp:lastModifiedBy>
  <cp:revision>5</cp:revision>
  <dcterms:created xsi:type="dcterms:W3CDTF">2018-03-27T07:28:00Z</dcterms:created>
  <dcterms:modified xsi:type="dcterms:W3CDTF">2020-10-04T23:58:00Z</dcterms:modified>
</cp:coreProperties>
</file>